
<file path=[Content_Types].xml><?xml version="1.0" encoding="utf-8"?>
<Types xmlns="http://schemas.openxmlformats.org/package/2006/content-types">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hanging="0"/>
        <w:jc w:val="right"/>
      </w:pPr>
      <w:r>
        <w:rPr>
          <w:sz w:val="40"/>
        </w:rPr>
      </w:r>
      <w:r>
        <w:rPr>
          <w:rFonts w:ascii="Arial" w:hAnsi="Arial" w:cs="Arial"/>
          <w:i/>
          <w:color w:val="888888"/>
          <w:sz w:val="36"/>
          <w:szCs w:val="36"/>
          <w:shd w:val="clear" w:color="auto" w:fill="FFFFFF"/>
        </w:rPr>
        <w:drawing>
          <wp:inline xmlns:wp="http://schemas.openxmlformats.org/drawingml/2006/wordprocessingDrawing" distT="0" distB="0" distL="0" distR="0">
            <wp:extent cx="972189" cy="58720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972190" cy="587201"/>
                    </a:xfrm>
                    <a:prstGeom prst="rect">
                      <a:avLst/>
                    </a:prstGeom>
                  </pic:spPr>
                </pic:pic>
              </a:graphicData>
            </a:graphic>
          </wp:inline>
        </w:drawing>
      </w:r>
      <w:r/>
    </w:p>
    <w:p>
      <w:pPr>
        <w:ind w:left="-704" w:right="0" w:hanging="0"/>
        <w:rPr>
          <w:u w:val="single"/>
        </w:rPr>
      </w:pPr>
      <w:r>
        <w:rPr>
          <w:sz w:val="40"/>
          <w:u w:val="single"/>
        </w:rPr>
        <w:t xml:space="preserve">A Level Results.....What Next?</w:t>
      </w:r>
      <w:r/>
    </w:p>
    <w:p>
      <w:pPr>
        <w:ind w:left="-706" w:right="0" w:hanging="0"/>
        <w:spacing w:after="180" w:before="0"/>
        <w:rPr>
          <w:rFonts w:ascii="Arial" w:hAnsi="Arial" w:cs="Arial" w:eastAsia="Arial"/>
          <w:b/>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Don't Panic!</w:t>
        <w:br/>
      </w:r>
      <w:r>
        <w:rPr>
          <w:rFonts w:ascii="Arial" w:hAnsi="Arial" w:cs="Arial" w:eastAsia="Arial"/>
          <w:sz w:val="24"/>
        </w:rPr>
        <w:t xml:space="preserve">In the days and weeks running up to results day many students worry about not getting the grades they hoped for. It is completely normal to be anxious but remember whatever the outcome there are always other options. Try to occupy yourself with other activities: holidays, work, volunteering, sports, reading, seeing friends. Make the focus about other things and practice some </w:t>
      </w:r>
      <w:r>
        <w:rPr>
          <w:rFonts w:ascii="Arial" w:hAnsi="Arial" w:cs="Arial" w:eastAsia="Arial"/>
          <w:b/>
          <w:sz w:val="24"/>
        </w:rPr>
        <w:t xml:space="preserve">mindfulness </w:t>
      </w:r>
      <w:r>
        <w:rPr>
          <w:rFonts w:ascii="Arial" w:hAnsi="Arial" w:cs="Arial" w:eastAsia="Arial"/>
          <w:sz w:val="24"/>
        </w:rPr>
        <w:t xml:space="preserve">(</w:t>
      </w:r>
      <w:r>
        <w:rPr>
          <w:rFonts w:ascii="Arial" w:hAnsi="Arial" w:cs="Arial" w:eastAsia="Arial"/>
          <w:sz w:val="24"/>
        </w:rPr>
        <w:t xml:space="preserve">see </w:t>
      </w:r>
      <w:r>
        <w:rPr>
          <w:sz w:val="24"/>
        </w:rPr>
      </w:r>
      <w:hyperlink r:id="rId8" w:history="1">
        <w:r>
          <w:rPr>
            <w:rStyle w:val="51"/>
            <w:sz w:val="24"/>
          </w:rPr>
          <w:t xml:space="preserve">www.nhs.uk/Conditions/stress-anxiety-depression/Pages/mindfulness.aspx</w:t>
        </w:r>
      </w:hyperlink>
      <w:r>
        <w:rPr>
          <w:sz w:val="24"/>
        </w:rPr>
        <w:t xml:space="preserve"> and</w:t>
      </w:r>
      <w:r>
        <w:rPr>
          <w:rFonts w:ascii="Arial" w:hAnsi="Arial" w:cs="Arial" w:eastAsia="Arial"/>
          <w:sz w:val="24"/>
        </w:rPr>
        <w:t xml:space="preserve"> </w:t>
      </w:r>
      <w:r>
        <w:rPr>
          <w:sz w:val="24"/>
        </w:rPr>
      </w:r>
      <w:hyperlink r:id="rId9" w:history="1">
        <w:r>
          <w:rPr>
            <w:rStyle w:val="51"/>
            <w:sz w:val="24"/>
          </w:rPr>
          <w:t xml:space="preserve">www.youngminds.org.uk</w:t>
        </w:r>
      </w:hyperlink>
      <w:r>
        <w:t xml:space="preserve">)</w:t>
      </w:r>
      <w:r>
        <w:rPr>
          <w:rFonts w:ascii="Arial" w:hAnsi="Arial" w:cs="Arial" w:eastAsia="Arial"/>
          <w:sz w:val="24"/>
        </w:rPr>
        <w:t xml:space="preserve">. If you have also taken BTECs then you will already know some of your results which will hopefully give you some reassurance.</w:t>
      </w:r>
      <w:r/>
    </w:p>
    <w:p>
      <w:pPr>
        <w:ind w:left="-706" w:right="0" w:hanging="0"/>
        <w:spacing w:after="180" w:before="0"/>
        <w:rPr>
          <w:rFonts w:ascii="Arial" w:hAnsi="Arial" w:cs="Arial" w:eastAsia="Arial"/>
          <w:b/>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On the Day</w:t>
        <w:br/>
      </w:r>
      <w:r>
        <w:rPr>
          <w:rFonts w:ascii="Arial" w:hAnsi="Arial" w:cs="Arial" w:eastAsia="Arial"/>
          <w:b w:val="false"/>
          <w:color w:val="000000"/>
          <w:sz w:val="24"/>
          <w:highlight w:val="white"/>
        </w:rPr>
        <w:t xml:space="preserve">If you are attending your school or college you will receive your results in an envelope. You don't have to open them at once however, many schools and colleges will have a range of teachers and guidance professionals (including your school's Careers Advisor) present to help you if your results are unexpected, so it is a good idea to take advantage of this support.</w:t>
      </w:r>
      <w:r/>
    </w:p>
    <w:p>
      <w:pPr>
        <w:ind w:left="-706" w:right="0" w:hanging="0"/>
        <w:spacing w:after="180" w:before="0"/>
        <w:rPr>
          <w:rFonts w:ascii="Arial" w:hAnsi="Arial" w:cs="Arial" w:eastAsia="Arial"/>
          <w:b/>
          <w:sz w:val="24"/>
          <w:u w:val="none"/>
        </w:rPr>
        <w:pBdr>
          <w:left w:val="none" w:color="000000" w:sz="4" w:space="0"/>
          <w:top w:val="none" w:color="000000" w:sz="4" w:space="0"/>
          <w:right w:val="none" w:color="000000" w:sz="4" w:space="0"/>
          <w:bottom w:val="none" w:color="000000" w:sz="4" w:space="0"/>
        </w:pBdr>
      </w:pPr>
      <w:r>
        <w:rPr>
          <w:rFonts w:ascii="Arial" w:hAnsi="Arial" w:cs="Arial" w:eastAsia="Arial"/>
        </w:rPr>
      </w:r>
      <w:r>
        <w:rPr>
          <w:rFonts w:ascii="Arial" w:hAnsi="Arial" w:cs="Arial" w:eastAsia="Arial"/>
          <w:b/>
          <w:color w:val="000000"/>
          <w:sz w:val="24"/>
          <w:highlight w:val="white"/>
        </w:rPr>
        <w:t xml:space="preserve">Heading to University?</w:t>
      </w:r>
      <w:r>
        <w:rPr>
          <w:rFonts w:ascii="Arial" w:hAnsi="Arial" w:cs="Arial" w:eastAsia="Arial"/>
          <w:sz w:val="24"/>
          <w:u w:val="single"/>
        </w:rPr>
        <w:br/>
        <w:t xml:space="preserve">Results as Expected</w:t>
        <w:br/>
      </w:r>
      <w:r>
        <w:rPr>
          <w:rFonts w:ascii="Arial" w:hAnsi="Arial" w:cs="Arial" w:eastAsia="Arial"/>
          <w:sz w:val="24"/>
          <w:u w:val="none"/>
        </w:rPr>
        <w:t xml:space="preserve">If your results are what you were predicted or you were offered an unconditional place, then it should be a smooth transition to university. If you have had a change of heart or want to check what else is possible then it is also worth looking at the other options below.</w:t>
      </w:r>
      <w:r>
        <w:rPr>
          <w:u w:val="none"/>
        </w:rPr>
      </w:r>
    </w:p>
    <w:p>
      <w:pPr>
        <w:ind w:left="-706" w:right="0" w:hanging="0"/>
        <w:spacing w:after="180" w:before="0"/>
        <w:rPr>
          <w:rFonts w:ascii="Arial" w:hAnsi="Arial" w:cs="Arial" w:eastAsia="Arial"/>
          <w:b/>
          <w:sz w:val="24"/>
          <w:u w:val="single"/>
        </w:rPr>
        <w:pBdr>
          <w:left w:val="none" w:color="000000" w:sz="4" w:space="0"/>
          <w:top w:val="none" w:color="000000" w:sz="4" w:space="0"/>
          <w:right w:val="none" w:color="000000" w:sz="4" w:space="0"/>
          <w:bottom w:val="none" w:color="000000" w:sz="4" w:space="0"/>
        </w:pBdr>
      </w:pPr>
      <w:r>
        <w:rPr>
          <w:rFonts w:ascii="Arial" w:hAnsi="Arial" w:cs="Arial" w:eastAsia="Arial"/>
          <w:sz w:val="24"/>
          <w:u w:val="single"/>
        </w:rPr>
        <w:t xml:space="preserve">Results Better than Expected</w:t>
        <w:br/>
      </w:r>
      <w:r/>
      <w:r>
        <w:rPr>
          <w:rFonts w:ascii="Arial" w:hAnsi="Arial" w:cs="Arial" w:eastAsia="Arial"/>
          <w:sz w:val="24"/>
          <w:u w:val="none"/>
        </w:rPr>
        <w:t xml:space="preserve">If you have done better than you were predicted and want to explore alternative courses then you can try </w:t>
      </w:r>
      <w:r>
        <w:rPr>
          <w:rFonts w:ascii="Arial" w:hAnsi="Arial" w:cs="Arial" w:eastAsia="Arial"/>
          <w:b/>
          <w:sz w:val="24"/>
          <w:u w:val="none"/>
        </w:rPr>
        <w:t xml:space="preserve">'Adjustment'</w:t>
      </w:r>
      <w:r>
        <w:rPr>
          <w:rFonts w:ascii="Arial" w:hAnsi="Arial" w:cs="Arial" w:eastAsia="Arial"/>
          <w:sz w:val="24"/>
          <w:u w:val="none"/>
        </w:rPr>
        <w:t xml:space="preserve">. This is a particularly good option if there was a course you were really keen on but your predicted grades held you back from applying to. Adjustment is available from the 13th till the 31st of August and you will see the option to register in 'track' when you log in to UCAS. The course you have already been accepted for will not be affected unless you confirm an alternative in adjustment. Remember though you need to consider this new course and/or university as carefully as you did your initial one. Don't let your improved grades and the limited time you have to decide your choice cloud your judgment. You can find out more at the UCAS website under undergraduate - 3. Been accepted - Adjustment.</w:t>
      </w:r>
      <w:r/>
    </w:p>
    <w:p>
      <w:pPr>
        <w:ind w:left="-706" w:right="0" w:hanging="0"/>
        <w:spacing w:after="180" w:before="0"/>
        <w:rPr>
          <w:rFonts w:ascii="Arial" w:hAnsi="Arial" w:cs="Arial" w:eastAsia="Arial"/>
          <w:b/>
          <w:sz w:val="24"/>
          <w:u w:val="none"/>
        </w:rPr>
        <w:pBdr>
          <w:left w:val="none" w:color="000000" w:sz="4" w:space="0"/>
          <w:top w:val="none" w:color="000000" w:sz="4" w:space="0"/>
          <w:right w:val="none" w:color="000000" w:sz="4" w:space="0"/>
          <w:bottom w:val="none" w:color="000000" w:sz="4" w:space="0"/>
        </w:pBdr>
      </w:pPr>
      <w:r>
        <w:rPr>
          <w:rFonts w:ascii="Arial" w:hAnsi="Arial" w:cs="Arial" w:eastAsia="Arial"/>
          <w:sz w:val="24"/>
          <w:u w:val="none"/>
        </w:rPr>
      </w:r>
      <w:r>
        <w:rPr>
          <w:rFonts w:ascii="Arial" w:hAnsi="Arial" w:cs="Arial" w:eastAsia="Arial"/>
          <w:sz w:val="24"/>
          <w:u w:val="none"/>
        </w:rPr>
        <w:t xml:space="preserve">Again if you have had a change of heart or want to check what else is possible then it is also worth looking at the other options below.</w:t>
      </w:r>
      <w:r/>
    </w:p>
    <w:p>
      <w:pPr>
        <w:ind w:left="-706" w:right="0" w:hanging="0"/>
        <w:spacing w:after="180" w:before="0"/>
        <w:rPr>
          <w:rFonts w:ascii="Arial" w:hAnsi="Arial" w:cs="Arial" w:eastAsia="Arial"/>
          <w:b/>
          <w:sz w:val="24"/>
          <w:u w:val="single"/>
        </w:rPr>
        <w:pBdr>
          <w:left w:val="none" w:color="000000" w:sz="4" w:space="0"/>
          <w:top w:val="none" w:color="000000" w:sz="4" w:space="0"/>
          <w:right w:val="none" w:color="000000" w:sz="4" w:space="0"/>
          <w:bottom w:val="none" w:color="000000" w:sz="4" w:space="0"/>
        </w:pBdr>
      </w:pPr>
      <w:r>
        <w:rPr>
          <w:rFonts w:ascii="Arial" w:hAnsi="Arial" w:cs="Arial" w:eastAsia="Arial"/>
          <w:sz w:val="24"/>
          <w:u w:val="single"/>
        </w:rPr>
        <w:t xml:space="preserve">Results Worse Than Expected</w:t>
        <w:br/>
      </w:r>
      <w:r/>
      <w:r>
        <w:rPr>
          <w:rFonts w:ascii="Arial" w:hAnsi="Arial" w:cs="Arial" w:eastAsia="Arial"/>
          <w:sz w:val="24"/>
          <w:u w:val="none"/>
        </w:rPr>
        <w:t xml:space="preserve">Firstly take a deep breath! Though it can feel devastating there are always options. Firstly </w:t>
      </w:r>
      <w:r>
        <w:rPr>
          <w:rFonts w:ascii="Arial" w:hAnsi="Arial" w:cs="Arial" w:eastAsia="Arial"/>
          <w:b/>
          <w:sz w:val="24"/>
          <w:u w:val="none"/>
        </w:rPr>
        <w:t xml:space="preserve">speak to your university admissions</w:t>
      </w:r>
      <w:r>
        <w:rPr>
          <w:rFonts w:ascii="Arial" w:hAnsi="Arial" w:cs="Arial" w:eastAsia="Arial"/>
          <w:sz w:val="24"/>
          <w:u w:val="none"/>
        </w:rPr>
        <w:t xml:space="preserve">. It may be your application was strong enough that one grade off will not matter. If this is not possible then there may be other similar courses your university can offer, so check with them first. You can also look at </w:t>
      </w:r>
      <w:r>
        <w:rPr>
          <w:rFonts w:ascii="Arial" w:hAnsi="Arial" w:cs="Arial" w:eastAsia="Arial"/>
          <w:b/>
          <w:sz w:val="24"/>
          <w:u w:val="none"/>
        </w:rPr>
        <w:t xml:space="preserve">Clearing </w:t>
      </w:r>
      <w:r>
        <w:rPr>
          <w:rFonts w:ascii="Arial" w:hAnsi="Arial" w:cs="Arial" w:eastAsia="Arial"/>
          <w:b w:val="false"/>
          <w:sz w:val="24"/>
          <w:u w:val="none"/>
        </w:rPr>
        <w:t xml:space="preserve">which is available </w:t>
        <w:br/>
        <w:br/>
        <w:t xml:space="preserve">till September. Search the clearing courses avai</w:t>
      </w:r>
      <w:r>
        <w:rPr>
          <w:rFonts w:ascii="Arial" w:hAnsi="Arial" w:cs="Arial" w:eastAsia="Arial"/>
          <w:b w:val="false"/>
          <w:sz w:val="24"/>
          <w:u w:val="none"/>
        </w:rPr>
        <w:t xml:space="preserve">lable at </w:t>
      </w:r>
      <w:r>
        <w:rPr>
          <w:rFonts w:ascii="Arial" w:hAnsi="Arial" w:cs="Arial" w:eastAsia="Arial"/>
          <w:sz w:val="24"/>
        </w:rPr>
      </w:r>
      <w:hyperlink r:id="rId10" w:history="1">
        <w:r>
          <w:rPr>
            <w:rStyle w:val="51"/>
            <w:rFonts w:ascii="Arial" w:hAnsi="Arial" w:cs="Arial" w:eastAsia="Arial"/>
            <w:sz w:val="24"/>
          </w:rPr>
          <w:t xml:space="preserve">http://search.ucas.com/</w:t>
        </w:r>
      </w:hyperlink>
      <w:r>
        <w:rPr>
          <w:rFonts w:ascii="Arial" w:hAnsi="Arial" w:cs="Arial" w:eastAsia="Arial"/>
          <w:sz w:val="24"/>
        </w:rPr>
        <w:t xml:space="preserve">. A</w:t>
      </w:r>
      <w:r>
        <w:rPr>
          <w:sz w:val="24"/>
        </w:rPr>
        <w:t xml:space="preserve">s with </w:t>
      </w:r>
      <w:r>
        <w:rPr>
          <w:sz w:val="24"/>
        </w:rPr>
        <w:t xml:space="preserve">Adjustment make sure you have researched and understood any new choices before you accept a place. Don't let the pressure of decision making force you into a choice you are not happy with. </w:t>
      </w:r>
      <w:r>
        <w:rPr>
          <w:rFonts w:ascii="Arial" w:hAnsi="Arial" w:cs="Arial" w:eastAsia="Arial"/>
          <w:sz w:val="24"/>
          <w:u w:val="none"/>
        </w:rPr>
        <w:t xml:space="preserve">You can find out more about the process at the UCAS website under undergraduate - 2. In Clearing. The other option is to retake the subjects you were not happy with. Speak to your school or college to find out the options available.</w:t>
      </w:r>
      <w:r>
        <w:rPr>
          <w:sz w:val="24"/>
        </w:rPr>
      </w:r>
    </w:p>
    <w:p>
      <w:pPr>
        <w:ind w:left="-706" w:right="0" w:hanging="0"/>
        <w:spacing w:after="180" w:before="0"/>
        <w:rPr>
          <w:rFonts w:ascii="Arial" w:hAnsi="Arial" w:cs="Arial" w:eastAsia="Arial"/>
          <w:sz w:val="24"/>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4"/>
          <w:highlight w:val="white"/>
        </w:rPr>
        <w:t xml:space="preserve">Other Options</w:t>
      </w:r>
      <w:r>
        <w:rPr>
          <w:rFonts w:ascii="Arial" w:hAnsi="Arial" w:cs="Arial" w:eastAsia="Arial"/>
          <w:color w:val="000000"/>
          <w:sz w:val="24"/>
          <w:highlight w:val="white"/>
        </w:rPr>
        <w:br/>
      </w:r>
      <w:r>
        <w:rPr>
          <w:rFonts w:ascii="Arial" w:hAnsi="Arial" w:cs="Arial" w:eastAsia="Arial"/>
          <w:color w:val="000000"/>
          <w:sz w:val="24"/>
          <w:highlight w:val="white"/>
          <w:u w:val="single"/>
        </w:rPr>
        <w:t xml:space="preserve">School Leaver Programs</w:t>
        <w:br/>
      </w:r>
      <w:r>
        <w:rPr>
          <w:sz w:val="24"/>
          <w:u w:val="none"/>
        </w:rPr>
        <w:t xml:space="preserve">Many large organisations offer school leaver programs where they will train you as you work and some will also pay for you to take a degree at the same time! Have a look at </w:t>
      </w:r>
      <w:r>
        <w:t xml:space="preserve">the 100 Most Popula</w:t>
      </w:r>
      <w:r>
        <w:rPr>
          <w:sz w:val="24"/>
        </w:rPr>
        <w:t xml:space="preserve">r Employers for School Leavers at</w:t>
      </w:r>
      <w:r>
        <w:t xml:space="preserve"> </w:t>
      </w:r>
      <w:r/>
      <w:hyperlink r:id="rId11" w:history="1">
        <w:r>
          <w:rPr>
            <w:rStyle w:val="51"/>
            <w:sz w:val="24"/>
          </w:rPr>
          <w:t xml:space="preserve">http://viewer.zmags.com/publication/b5ab9faf</w:t>
        </w:r>
      </w:hyperlink>
      <w:r>
        <w:rPr>
          <w:sz w:val="24"/>
        </w:rPr>
        <w:t xml:space="preserve"> as well as </w:t>
      </w:r>
      <w:r>
        <w:rPr>
          <w:sz w:val="24"/>
        </w:rPr>
      </w:r>
      <w:hyperlink r:id="rId12" w:history="1">
        <w:r>
          <w:rPr>
            <w:rStyle w:val="51"/>
            <w:sz w:val="24"/>
          </w:rPr>
          <w:t xml:space="preserve">www.allaboutschoolleavers.co.uk/employer-rankings</w:t>
        </w:r>
      </w:hyperlink>
      <w:r>
        <w:rPr>
          <w:sz w:val="24"/>
        </w:rPr>
        <w:t xml:space="preserve"> and </w:t>
      </w:r>
      <w:r>
        <w:rPr>
          <w:sz w:val="24"/>
        </w:rPr>
      </w:r>
      <w:hyperlink r:id="rId13" w:history="1">
        <w:r>
          <w:rPr>
            <w:rStyle w:val="51"/>
            <w:sz w:val="24"/>
          </w:rPr>
          <w:t xml:space="preserve">www.notgoingtouni.co.uk</w:t>
        </w:r>
      </w:hyperlink>
      <w:r>
        <w:rPr>
          <w:sz w:val="24"/>
        </w:rPr>
        <w:t xml:space="preserve">.</w:t>
      </w:r>
      <w:r>
        <w:rPr>
          <w:sz w:val="24"/>
          <w:u w:val="single"/>
        </w:rPr>
      </w:r>
    </w:p>
    <w:p>
      <w:pPr>
        <w:ind w:left="-706" w:right="0" w:hanging="0"/>
        <w:spacing w:after="180" w:before="0"/>
        <w:rPr>
          <w:sz w:val="24"/>
          <w:u w:val="single"/>
        </w:rPr>
        <w:pBdr>
          <w:left w:val="none" w:color="000000" w:sz="4" w:space="0"/>
          <w:top w:val="none" w:color="000000" w:sz="4" w:space="0"/>
          <w:right w:val="none" w:color="000000" w:sz="4" w:space="0"/>
          <w:bottom w:val="none" w:color="000000" w:sz="4" w:space="0"/>
        </w:pBdr>
      </w:pPr>
      <w:r>
        <w:rPr>
          <w:sz w:val="24"/>
          <w:u w:val="single"/>
        </w:rPr>
        <w:t xml:space="preserve">Apprenticeships</w:t>
        <w:br/>
      </w:r>
      <w:r>
        <w:rPr>
          <w:sz w:val="24"/>
          <w:u w:val="none"/>
        </w:rPr>
        <w:t xml:space="preserve">There is now a huge range of apprenticeships available at different levels and in different career sectors. Earn, learn, get experience and a qualification. See what's available here:</w:t>
      </w:r>
      <w:r>
        <w:rPr>
          <w:sz w:val="24"/>
          <w:u w:val="single"/>
        </w:rPr>
        <w:t xml:space="preserve"> </w:t>
      </w:r>
      <w:r>
        <w:rPr>
          <w:sz w:val="24"/>
        </w:rPr>
      </w:r>
      <w:hyperlink r:id="rId14" w:history="1">
        <w:r>
          <w:rPr>
            <w:rStyle w:val="51"/>
            <w:sz w:val="24"/>
          </w:rPr>
          <w:t xml:space="preserve">www.apprenticeships.org.uk</w:t>
        </w:r>
      </w:hyperlink>
      <w:r>
        <w:t xml:space="preserve">.</w:t>
      </w:r>
      <w:r>
        <w:rPr>
          <w:sz w:val="24"/>
          <w:u w:val="single"/>
        </w:rPr>
      </w:r>
    </w:p>
    <w:p>
      <w:pPr>
        <w:ind w:left="-706" w:right="0" w:hanging="0"/>
        <w:spacing w:after="180" w:before="0"/>
        <w:rPr>
          <w:sz w:val="24"/>
        </w:rPr>
        <w:pBdr>
          <w:left w:val="none" w:color="000000" w:sz="4" w:space="0"/>
          <w:top w:val="none" w:color="000000" w:sz="4" w:space="0"/>
          <w:right w:val="none" w:color="000000" w:sz="4" w:space="0"/>
          <w:bottom w:val="none" w:color="000000" w:sz="4" w:space="0"/>
        </w:pBdr>
      </w:pPr>
      <w:r>
        <w:rPr>
          <w:sz w:val="24"/>
          <w:u w:val="single"/>
        </w:rPr>
        <w:t xml:space="preserve">Employment</w:t>
        <w:br/>
      </w:r>
      <w:r>
        <w:rPr>
          <w:sz w:val="24"/>
        </w:rPr>
      </w:r>
      <w:r>
        <w:rPr>
          <w:sz w:val="24"/>
        </w:rPr>
        <w:t xml:space="preserve">Going straight into employment is certainly a possibility although it may take a lot of effort and hardwork. There will be a separate vlog and handout on getting a job but for starters have a look at </w:t>
      </w:r>
      <w:r/>
      <w:hyperlink r:id="rId15" w:history="1">
        <w:r>
          <w:rPr>
            <w:rStyle w:val="51"/>
            <w:sz w:val="24"/>
          </w:rPr>
          <w:t xml:space="preserve">http://beach.brightonandhovejobs.com</w:t>
        </w:r>
      </w:hyperlink>
      <w:r/>
      <w:r>
        <w:rPr>
          <w:sz w:val="24"/>
        </w:rPr>
        <w:t xml:space="preserve">.</w:t>
      </w:r>
    </w:p>
    <w:p>
      <w:pPr>
        <w:ind w:left="-706" w:right="0" w:hanging="0"/>
        <w:spacing w:after="180" w:before="0"/>
        <w:rPr>
          <w:sz w:val="24"/>
        </w:rPr>
        <w:pBdr>
          <w:left w:val="none" w:color="000000" w:sz="4" w:space="0"/>
          <w:top w:val="none" w:color="000000" w:sz="4" w:space="0"/>
          <w:right w:val="none" w:color="000000" w:sz="4" w:space="0"/>
          <w:bottom w:val="none" w:color="000000" w:sz="4" w:space="0"/>
        </w:pBdr>
      </w:pPr>
      <w:r>
        <w:rPr>
          <w:sz w:val="24"/>
          <w:u w:val="single"/>
        </w:rPr>
        <w:t xml:space="preserve">Volunteering/Work Experience/Internships</w:t>
        <w:br/>
      </w:r>
      <w:r>
        <w:rPr>
          <w:sz w:val="24"/>
        </w:rPr>
      </w:r>
      <w:r>
        <w:rPr>
          <w:sz w:val="24"/>
        </w:rPr>
        <w:t xml:space="preserve">Many career areas require lots of experience before you can secure a fully paid job. Have a look at </w:t>
      </w:r>
      <w:hyperlink r:id="rId16" w:history="1">
        <w:r>
          <w:rPr>
            <w:rStyle w:val="51"/>
            <w:sz w:val="24"/>
          </w:rPr>
          <w:t xml:space="preserve">www.do-it.org</w:t>
        </w:r>
        <w:r>
          <w:rPr>
            <w:rStyle w:val="51"/>
            <w:sz w:val="16"/>
          </w:rPr>
        </w:r>
      </w:hyperlink>
      <w:r>
        <w:rPr>
          <w:sz w:val="24"/>
        </w:rPr>
        <w:t xml:space="preserve"> for a range of volunteering opportunities. Securing work experience (often short term and informal) and internships (usually more long term with agreed duties) often requires speaking to companies directly and offering your skills and willingness to learn. There will be a separate vlog and handout on this but start by looking at </w:t>
      </w:r>
      <w:r>
        <w:rPr>
          <w:sz w:val="24"/>
        </w:rPr>
      </w:r>
      <w:hyperlink r:id="rId17" w:history="1">
        <w:r>
          <w:rPr>
            <w:rStyle w:val="51"/>
            <w:sz w:val="24"/>
          </w:rPr>
          <w:t xml:space="preserve">https://nationalcareersservice.direct.gov.uk/advice/getajob/workexperience/Pages/default.aspx</w:t>
        </w:r>
      </w:hyperlink>
      <w:r/>
      <w:r>
        <w:rPr>
          <w:sz w:val="24"/>
        </w:rPr>
      </w:r>
    </w:p>
    <w:p>
      <w:pPr>
        <w:ind w:left="-706" w:right="0" w:hanging="0"/>
        <w:spacing w:after="180" w:before="0"/>
        <w:rPr>
          <w:sz w:val="24"/>
          <w:u w:val="single"/>
        </w:rPr>
        <w:pBdr>
          <w:left w:val="none" w:color="000000" w:sz="4" w:space="0"/>
          <w:top w:val="none" w:color="000000" w:sz="4" w:space="0"/>
          <w:right w:val="none" w:color="000000" w:sz="4" w:space="0"/>
          <w:bottom w:val="none" w:color="000000" w:sz="4" w:space="0"/>
        </w:pBdr>
      </w:pPr>
      <w:r>
        <w:rPr>
          <w:sz w:val="24"/>
          <w:u w:val="single"/>
        </w:rPr>
        <w:t xml:space="preserve">Travel</w:t>
        <w:br/>
      </w:r>
      <w:r>
        <w:rPr>
          <w:sz w:val="24"/>
          <w:u w:val="single"/>
        </w:rPr>
      </w:r>
      <w:r>
        <w:rPr>
          <w:sz w:val="24"/>
          <w:u w:val="none"/>
        </w:rPr>
        <w:t xml:space="preserve">Spending time abroad can be a great way to meet new people, learn new skills and explore new ideas and experiences. There are lots of gap year companies (that charge for the trip) but also look at </w:t>
      </w:r>
      <w:hyperlink r:id="rId18" w:history="1">
        <w:r>
          <w:rPr>
            <w:rStyle w:val="51"/>
            <w:sz w:val="24"/>
            <w:u w:val="none"/>
          </w:rPr>
        </w:r>
        <w:r>
          <w:rPr>
            <w:rStyle w:val="51"/>
            <w:sz w:val="24"/>
            <w:u w:val="none"/>
          </w:rPr>
          <w:t xml:space="preserve">www.</w:t>
        </w:r>
        <w:r>
          <w:rPr>
            <w:rStyle w:val="51"/>
            <w:sz w:val="24"/>
            <w:u w:val="none"/>
          </w:rPr>
          <w:t xml:space="preserve">concordiavolunteers.org.uk</w:t>
        </w:r>
        <w:r>
          <w:rPr>
            <w:rStyle w:val="51"/>
            <w:sz w:val="24"/>
            <w:u w:val="none"/>
          </w:rPr>
          <w:t xml:space="preserve"> </w:t>
        </w:r>
        <w:r>
          <w:rPr>
            <w:rStyle w:val="51"/>
            <w:sz w:val="24"/>
            <w:u w:val="none"/>
          </w:rPr>
        </w:r>
      </w:hyperlink>
      <w:r>
        <w:t xml:space="preserve">and </w:t>
      </w:r>
      <w:r>
        <w:rPr>
          <w:sz w:val="24"/>
        </w:rPr>
      </w:r>
      <w:hyperlink r:id="rId19" w:history="1">
        <w:r>
          <w:rPr>
            <w:rStyle w:val="51"/>
            <w:sz w:val="24"/>
          </w:rPr>
          <w:t xml:space="preserve">www.workandvolunteer.com/leonardo</w:t>
        </w:r>
      </w:hyperlink>
      <w:r/>
      <w:r>
        <w:rPr>
          <w:sz w:val="24"/>
          <w:u w:val="none"/>
        </w:rPr>
      </w:r>
    </w:p>
    <w:p>
      <w:pPr>
        <w:ind w:left="-706" w:right="0" w:hanging="0"/>
        <w:spacing w:after="180" w:before="0"/>
        <w:rPr>
          <w:sz w:val="24"/>
          <w:u w:val="single"/>
        </w:rPr>
        <w:pBdr>
          <w:left w:val="none" w:color="000000" w:sz="4" w:space="0"/>
          <w:top w:val="none" w:color="000000" w:sz="4" w:space="0"/>
          <w:right w:val="none" w:color="000000" w:sz="4" w:space="0"/>
          <w:bottom w:val="none" w:color="000000" w:sz="4" w:space="0"/>
        </w:pBdr>
      </w:pPr>
      <w:r>
        <w:rPr>
          <w:sz w:val="24"/>
          <w:u w:val="single"/>
        </w:rPr>
        <w:t xml:space="preserve">Self Employment</w:t>
        <w:br/>
      </w:r>
      <w:r>
        <w:rPr>
          <w:sz w:val="24"/>
          <w:u w:val="none"/>
        </w:rPr>
        <w:t xml:space="preserve">If you have an idea for a product or service then self employment could be a possibility. There are a range of organisations that can support you such as</w:t>
      </w:r>
      <w:r>
        <w:rPr>
          <w:sz w:val="24"/>
          <w:u w:val="none"/>
        </w:rPr>
        <w:t xml:space="preserve"> </w:t>
      </w:r>
      <w:r>
        <w:rPr>
          <w:u w:val="none"/>
        </w:rPr>
      </w:r>
      <w:hyperlink r:id="rId20" w:history="1">
        <w:r>
          <w:rPr>
            <w:rStyle w:val="51"/>
            <w:sz w:val="24"/>
            <w:u w:val="none"/>
          </w:rPr>
        </w:r>
        <w:r>
          <w:rPr>
            <w:rStyle w:val="51"/>
            <w:sz w:val="24"/>
          </w:rPr>
          <w:t xml:space="preserve">www.princes-trust.org.uk/need_help/enterprise_programme.aspx</w:t>
        </w:r>
        <w:r>
          <w:rPr>
            <w:rStyle w:val="51"/>
            <w:sz w:val="24"/>
          </w:rPr>
        </w:r>
      </w:hyperlink>
      <w:r/>
      <w:r>
        <w:rPr>
          <w:sz w:val="24"/>
          <w:u w:val="single"/>
        </w:rPr>
      </w:r>
    </w:p>
    <w:p>
      <w:pPr>
        <w:ind w:left="-706" w:right="0" w:hanging="0"/>
        <w:spacing w:after="180" w:before="0"/>
        <w:rPr>
          <w:sz w:val="24"/>
          <w:u w:val="single"/>
        </w:rPr>
        <w:pBdr>
          <w:left w:val="none" w:color="000000" w:sz="4" w:space="0"/>
          <w:top w:val="none" w:color="000000" w:sz="4" w:space="0"/>
          <w:right w:val="none" w:color="000000" w:sz="4" w:space="0"/>
          <w:bottom w:val="none" w:color="000000" w:sz="4" w:space="0"/>
        </w:pBdr>
      </w:pPr>
      <w:r>
        <w:rPr>
          <w:sz w:val="24"/>
          <w:u w:val="single"/>
        </w:rPr>
        <w:t xml:space="preserve">Still Not Sure?</w:t>
        <w:br/>
      </w:r>
      <w:r>
        <w:rPr>
          <w:sz w:val="24"/>
          <w:u w:val="none"/>
        </w:rPr>
        <w:t xml:space="preserve">The Youth Employability Service in Brighton can help.  Call them on </w:t>
      </w:r>
      <w:r>
        <w:rPr>
          <w:rFonts w:ascii="Arial" w:hAnsi="Arial" w:cs="Arial" w:eastAsia="Arial"/>
          <w:color w:val="000000"/>
          <w:sz w:val="24"/>
          <w:highlight w:val="white"/>
        </w:rPr>
        <w:t xml:space="preserve">01273 294247 or visit </w:t>
      </w:r>
      <w:r>
        <w:rPr>
          <w:sz w:val="24"/>
        </w:rPr>
      </w:r>
      <w:hyperlink r:id="rId21" w:history="1">
        <w:r>
          <w:rPr>
            <w:rStyle w:val="51"/>
            <w:sz w:val="24"/>
          </w:rPr>
          <w:t xml:space="preserve">www.facebook.com/yesbrightonhove</w:t>
        </w:r>
        <w:r>
          <w:rPr>
            <w:rStyle w:val="51"/>
            <w:sz w:val="24"/>
          </w:rPr>
        </w:r>
      </w:hyperlink>
      <w:r>
        <w:rPr>
          <w:sz w:val="24"/>
          <w:u w:val="none"/>
        </w:rPr>
        <w:t xml:space="preserve">. Also have a look at the Prince's Trust Courses at</w:t>
      </w:r>
      <w:r>
        <w:rPr>
          <w:sz w:val="24"/>
          <w:u w:val="single"/>
        </w:rPr>
        <w:t xml:space="preserve"> </w:t>
      </w:r>
      <w:hyperlink r:id="rId22" w:history="1">
        <w:r>
          <w:rPr>
            <w:rStyle w:val="51"/>
            <w:sz w:val="24"/>
          </w:rPr>
          <w:t xml:space="preserve">www.princes-trust.org.uk/need_help/courses.aspx</w:t>
        </w:r>
        <w:r>
          <w:rPr>
            <w:rStyle w:val="51"/>
            <w:sz w:val="24"/>
          </w:rPr>
        </w:r>
      </w:hyperlink>
      <w:r>
        <w:rPr>
          <w:sz w:val="24"/>
          <w:u w:val="single"/>
        </w:rPr>
        <w:br/>
      </w:r>
      <w:r>
        <w:rPr>
          <w:sz w:val="24"/>
          <w:u w:val="single"/>
        </w:rPr>
      </w:r>
    </w:p>
    <w:sectPr>
      <w:headerReference w:type="default" r:id="rId6"/>
      <w:type w:val="nextPage"/>
      <w:pgSz w:w="11906" w:h="16838"/>
      <w:pgMar w:top="1134" w:right="850" w:bottom="1134" w:left="1701" w:gutter="0" w:header="709" w:footer="70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left="0" w:right="0" w:hanging="0"/>
      <w:jc w:val="right"/>
      <w:tabs>
        <w:tab w:val="clear" w:pos="4677"/>
        <w:tab w:val="clear" w:pos="9355"/>
      </w:tabs>
    </w:pPr>
    <w:r>
      <w:t xml:space="preserve">This handout accompanies the vlog of the same name. Watch it at </w:t>
    </w:r>
    <w:r>
      <w:t xml:space="preserve">www.elev8careers.org.uk/careers-blog/category/youtube</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
    <w:name w:val="Heading 1"/>
    <w:basedOn w:val="a"/>
    <w:next w:val="a"/>
    <w:qFormat/>
    <w:uiPriority w:val="9"/>
    <w:rPr>
      <w:rFonts w:ascii="Arial" w:hAnsi="Arial" w:cs="Arial" w:eastAsia="Arial"/>
      <w:b/>
      <w:bCs/>
      <w:color w:val="000000" w:themeColor="text1"/>
      <w:sz w:val="48"/>
      <w:szCs w:val="48"/>
    </w:rPr>
    <w:pPr>
      <w:keepLines/>
      <w:keepNext/>
      <w:spacing w:after="0" w:before="480"/>
    </w:pPr>
  </w:style>
  <w:style w:type="paragraph" w:styleId="2">
    <w:name w:val="Heading 2"/>
    <w:basedOn w:val="a"/>
    <w:next w:val="a"/>
    <w:qFormat/>
    <w:uiPriority w:val="9"/>
    <w:unhideWhenUsed/>
    <w:rPr>
      <w:rFonts w:ascii="Arial" w:hAnsi="Arial" w:cs="Arial" w:eastAsia="Arial"/>
      <w:b/>
      <w:bCs/>
      <w:color w:val="000000" w:themeColor="text1"/>
      <w:sz w:val="40"/>
    </w:rPr>
    <w:pPr>
      <w:keepLines/>
      <w:keepNext/>
      <w:spacing w:after="0" w:before="200"/>
    </w:pPr>
  </w:style>
  <w:style w:type="paragraph" w:styleId="3">
    <w:name w:val="Heading 3"/>
    <w:basedOn w:val="a"/>
    <w:next w:val="a"/>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4">
    <w:name w:val="Heading 4"/>
    <w:basedOn w:val="a"/>
    <w:next w:val="a"/>
    <w:qFormat/>
    <w:uiPriority w:val="9"/>
    <w:unhideWhenUsed/>
    <w:rPr>
      <w:rFonts w:ascii="Arial" w:hAnsi="Arial" w:cs="Arial" w:eastAsia="Arial"/>
      <w:color w:val="232323"/>
      <w:sz w:val="32"/>
      <w:szCs w:val="32"/>
    </w:rPr>
    <w:pPr>
      <w:keepLines/>
      <w:keepNext/>
      <w:spacing w:after="0" w:before="200"/>
    </w:pPr>
  </w:style>
  <w:style w:type="paragraph" w:styleId="5">
    <w:name w:val="Heading 5"/>
    <w:basedOn w:val="a"/>
    <w:next w:val="a"/>
    <w:qFormat/>
    <w:uiPriority w:val="9"/>
    <w:unhideWhenUsed/>
    <w:rPr>
      <w:rFonts w:ascii="Arial" w:hAnsi="Arial" w:cs="Arial" w:eastAsia="Arial"/>
      <w:b/>
      <w:bCs/>
      <w:color w:val="444444"/>
      <w:sz w:val="28"/>
      <w:szCs w:val="28"/>
    </w:rPr>
    <w:pPr>
      <w:keepLines/>
      <w:keepNext/>
      <w:spacing w:after="0" w:before="200"/>
    </w:pPr>
  </w:style>
  <w:style w:type="paragraph" w:styleId="6">
    <w:name w:val="Heading 6"/>
    <w:basedOn w:val="a"/>
    <w:next w:val="a"/>
    <w:qFormat/>
    <w:uiPriority w:val="9"/>
    <w:unhideWhenUsed/>
    <w:rPr>
      <w:rFonts w:ascii="Arial" w:hAnsi="Arial" w:cs="Arial" w:eastAsia="Arial"/>
      <w:i/>
      <w:iCs/>
      <w:color w:val="232323"/>
      <w:sz w:val="28"/>
      <w:szCs w:val="28"/>
    </w:rPr>
    <w:pPr>
      <w:keepLines/>
      <w:keepNext/>
      <w:spacing w:after="0" w:before="200"/>
    </w:pPr>
  </w:style>
  <w:style w:type="paragraph" w:styleId="7">
    <w:name w:val="Heading 7"/>
    <w:basedOn w:val="a"/>
    <w:next w:val="a"/>
    <w:qFormat/>
    <w:uiPriority w:val="9"/>
    <w:unhideWhenUsed/>
    <w:rPr>
      <w:rFonts w:ascii="Arial" w:hAnsi="Arial" w:cs="Arial" w:eastAsia="Arial"/>
      <w:b/>
      <w:bCs/>
      <w:color w:val="606060"/>
      <w:sz w:val="24"/>
      <w:szCs w:val="24"/>
    </w:rPr>
    <w:pPr>
      <w:keepLines/>
      <w:keepNext/>
      <w:spacing w:after="0" w:before="200"/>
    </w:pPr>
  </w:style>
  <w:style w:type="paragraph" w:styleId="8">
    <w:name w:val="Heading 8"/>
    <w:basedOn w:val="a"/>
    <w:next w:val="a"/>
    <w:qFormat/>
    <w:uiPriority w:val="9"/>
    <w:unhideWhenUsed/>
    <w:rPr>
      <w:rFonts w:ascii="Arial" w:hAnsi="Arial" w:cs="Arial" w:eastAsia="Arial"/>
      <w:color w:val="444444"/>
      <w:sz w:val="24"/>
      <w:szCs w:val="24"/>
    </w:rPr>
    <w:pPr>
      <w:keepLines/>
      <w:keepNext/>
      <w:spacing w:after="0" w:before="200"/>
    </w:pPr>
  </w:style>
  <w:style w:type="paragraph" w:styleId="9">
    <w:name w:val="Heading 9"/>
    <w:basedOn w:val="a"/>
    <w:next w:val="a"/>
    <w:qFormat/>
    <w:uiPriority w:val="9"/>
    <w:unhideWhenUsed/>
    <w:rPr>
      <w:rFonts w:ascii="Arial" w:hAnsi="Arial" w:cs="Arial" w:eastAsia="Arial"/>
      <w:i/>
      <w:iCs/>
      <w:color w:val="444444"/>
      <w:sz w:val="23"/>
      <w:szCs w:val="23"/>
    </w:rPr>
    <w:pPr>
      <w:keepLines/>
      <w:keepNext/>
      <w:spacing w:after="0" w:before="200"/>
    </w:pPr>
  </w:style>
  <w:style w:type="paragraph" w:styleId="21">
    <w:name w:val="Quote"/>
    <w:basedOn w:val="a"/>
    <w:next w:val="a"/>
    <w:qFormat/>
    <w:uiPriority w:val="29"/>
    <w:rPr>
      <w:i/>
      <w:iCs/>
      <w:color w:val="373737"/>
      <w:sz w:val="18"/>
      <w:szCs w:val="18"/>
    </w:rPr>
    <w:pPr>
      <w:ind w:left="4536"/>
      <w:jc w:val="both"/>
    </w:pPr>
  </w:style>
  <w:style w:type="table" w:styleId="29">
    <w:name w:val="Table Grid"/>
    <w:basedOn w:val="a1"/>
    <w:uiPriority w:val="5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31">
    <w:name w:val="Lined - Accent 1"/>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styleId="32">
    <w:name w:val="Lined - Accent 2"/>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33">
    <w:name w:val="Lined - Accent 3"/>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34">
    <w:name w:val="Lined - Accent 4"/>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35">
    <w:name w:val="Lined - Accent 5"/>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36">
    <w:name w:val="Lined - Accent 6"/>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styleId="37">
    <w:name w:val="Bordered"/>
    <w:basedOn w:val="a1"/>
    <w:uiPriority w:val="99"/>
    <w:pPr>
      <w:spacing w:lineRule="auto" w:line="240" w:after="0"/>
    </w:pPr>
    <w:tblPr>
      <w:tblStyleRowBandSize w:val="1"/>
      <w:tblStyleColBandSize w:val="1"/>
      <w:tblInd w:w="0" w:type="dxa"/>
      <w:tblBorders>
        <w:left w:val="single" w:color="BFBFBF" w:sz="4" w:space="0"/>
        <w:top w:val="single" w:color="BFBFBF" w:sz="4" w:space="0"/>
        <w:right w:val="single" w:color="BFBFBF" w:sz="4" w:space="0"/>
        <w:bottom w:val="single" w:color="BFBFBF" w:sz="4" w:space="0"/>
        <w:insideV w:val="single" w:color="BFBFBF" w:sz="4" w:space="0"/>
        <w:insideH w:val="single" w:color="BFBFBF" w:sz="4" w:space="0"/>
      </w:tblBorders>
      <w:tblCellMar>
        <w:left w:w="1" w:type="auto"/>
        <w:top w:w="0" w:type="auto"/>
        <w:right w:w="1" w:type="auto"/>
        <w:bottom w:w="0" w:type="auto"/>
      </w:tblCellMar>
    </w:tblPr>
    <w:tblStylePr w:type="firstCol">
      <w:tcPr>
        <w:tcBorders>
          <w:right w:val="single" w:color="000000" w:sz="18" w:space="0"/>
        </w:tcBorders>
      </w:tcPr>
    </w:tblStylePr>
    <w:tblStylePr w:type="firstRow">
      <w:tcPr>
        <w:tcBorders>
          <w:bottom w:val="single" w:color="000000" w:sz="18" w:space="0"/>
        </w:tcBorders>
      </w:tcPr>
    </w:tblStylePr>
    <w:tblStylePr w:type="lastCol">
      <w:tcPr>
        <w:tcBorders>
          <w:left w:val="single" w:color="000000" w:sz="18" w:space="0"/>
        </w:tcBorders>
      </w:tcPr>
    </w:tblStylePr>
    <w:tblStylePr w:type="lastRow">
      <w:tcPr>
        <w:tcBorders>
          <w:top w:val="single" w:color="000000" w:sz="18" w:space="0"/>
        </w:tcBorders>
      </w:tcPr>
    </w:tblStylePr>
  </w:style>
  <w:style w:type="table" w:styleId="38">
    <w:name w:val="Bordered - Accent 1"/>
    <w:basedOn w:val="a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 w:type="auto"/>
        <w:top w:w="0" w:type="auto"/>
        <w:right w:w="1" w:type="auto"/>
        <w:bottom w:w="0" w:type="auto"/>
      </w:tblCellMar>
    </w:tblPr>
    <w:tblStylePr w:type="firstCol">
      <w:tcPr>
        <w:tcBorders>
          <w:right w:val="single" w:color="365F91" w:sz="18" w:space="0"/>
        </w:tcBorders>
      </w:tcPr>
    </w:tblStylePr>
    <w:tblStylePr w:type="firstRow">
      <w:tcPr>
        <w:tcBorders>
          <w:bottom w:val="single" w:color="365F91" w:sz="18" w:space="0"/>
        </w:tcBorders>
      </w:tcPr>
    </w:tblStylePr>
    <w:tblStylePr w:type="lastCol">
      <w:tcPr>
        <w:tcBorders>
          <w:left w:val="single" w:color="365F91" w:sz="18" w:space="0"/>
        </w:tcBorders>
      </w:tcPr>
    </w:tblStylePr>
    <w:tblStylePr w:type="lastRow">
      <w:tcPr>
        <w:tcBorders>
          <w:top w:val="single" w:color="365F91" w:sz="18" w:space="0"/>
        </w:tcBorders>
      </w:tcPr>
    </w:tblStylePr>
  </w:style>
  <w:style w:type="table" w:styleId="39">
    <w:name w:val="Bordered - Accent 2"/>
    <w:basedOn w:val="a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 w:type="auto"/>
        <w:top w:w="0" w:type="auto"/>
        <w:right w:w="1" w:type="auto"/>
        <w:bottom w:w="0" w:type="auto"/>
      </w:tblCellMar>
    </w:tblPr>
    <w:tblStylePr w:type="firstCol">
      <w:tcPr>
        <w:tcBorders>
          <w:right w:val="single" w:color="943634" w:sz="18" w:space="0"/>
        </w:tcBorders>
      </w:tcPr>
    </w:tblStylePr>
    <w:tblStylePr w:type="firstRow">
      <w:tcPr>
        <w:tcBorders>
          <w:bottom w:val="single" w:color="943634" w:sz="18" w:space="0"/>
        </w:tcBorders>
      </w:tcPr>
    </w:tblStylePr>
    <w:tblStylePr w:type="lastCol">
      <w:tcPr>
        <w:tcBorders>
          <w:left w:val="single" w:color="943634" w:sz="18" w:space="0"/>
        </w:tcBorders>
      </w:tcPr>
    </w:tblStylePr>
    <w:tblStylePr w:type="lastRow">
      <w:tcPr>
        <w:tcBorders>
          <w:top w:val="single" w:color="943634" w:sz="18" w:space="0"/>
        </w:tcBorders>
      </w:tcPr>
    </w:tblStylePr>
  </w:style>
  <w:style w:type="table" w:styleId="40">
    <w:name w:val="Bordered - Accent 3"/>
    <w:basedOn w:val="a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 w:type="auto"/>
        <w:top w:w="0" w:type="auto"/>
        <w:right w:w="1" w:type="auto"/>
        <w:bottom w:w="0" w:type="auto"/>
      </w:tblCellMar>
    </w:tblPr>
    <w:tblStylePr w:type="firstCol">
      <w:tcPr>
        <w:tcBorders>
          <w:right w:val="single" w:color="76923C" w:sz="18" w:space="0"/>
        </w:tcBorders>
      </w:tcPr>
    </w:tblStylePr>
    <w:tblStylePr w:type="firstRow">
      <w:tcPr>
        <w:tcBorders>
          <w:bottom w:val="single" w:color="76923C" w:sz="18" w:space="0"/>
        </w:tcBorders>
      </w:tcPr>
    </w:tblStylePr>
    <w:tblStylePr w:type="lastCol">
      <w:tcPr>
        <w:tcBorders>
          <w:left w:val="single" w:color="76923C" w:sz="18" w:space="0"/>
        </w:tcBorders>
      </w:tcPr>
    </w:tblStylePr>
    <w:tblStylePr w:type="lastRow">
      <w:tcPr>
        <w:tcBorders>
          <w:top w:val="single" w:color="76923C" w:sz="18" w:space="0"/>
        </w:tcBorders>
      </w:tcPr>
    </w:tblStylePr>
  </w:style>
  <w:style w:type="table" w:styleId="41">
    <w:name w:val="Bordered - Accent 4"/>
    <w:basedOn w:val="a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 w:type="auto"/>
        <w:top w:w="0" w:type="auto"/>
        <w:right w:w="1" w:type="auto"/>
        <w:bottom w:w="0" w:type="auto"/>
      </w:tblCellMar>
    </w:tblPr>
    <w:tblStylePr w:type="firstCol">
      <w:tcPr>
        <w:tcBorders>
          <w:right w:val="single" w:color="5F497A" w:sz="18" w:space="0"/>
        </w:tcBorders>
      </w:tcPr>
    </w:tblStylePr>
    <w:tblStylePr w:type="firstRow">
      <w:tcPr>
        <w:tcBorders>
          <w:bottom w:val="single" w:color="5F497A" w:sz="18" w:space="0"/>
        </w:tcBorders>
      </w:tcPr>
    </w:tblStylePr>
    <w:tblStylePr w:type="lastCol">
      <w:tcPr>
        <w:tcBorders>
          <w:left w:val="single" w:color="5F497A" w:sz="18" w:space="0"/>
        </w:tcBorders>
      </w:tcPr>
    </w:tblStylePr>
    <w:tblStylePr w:type="lastRow">
      <w:tcPr>
        <w:tcBorders>
          <w:top w:val="single" w:color="5F497A" w:sz="18" w:space="0"/>
        </w:tcBorders>
      </w:tcPr>
    </w:tblStylePr>
  </w:style>
  <w:style w:type="table" w:styleId="42">
    <w:name w:val="Bordered - Accent 5"/>
    <w:basedOn w:val="a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 w:type="auto"/>
        <w:top w:w="0" w:type="auto"/>
        <w:right w:w="1" w:type="auto"/>
        <w:bottom w:w="0" w:type="auto"/>
      </w:tblCellMar>
    </w:tblPr>
    <w:tblStylePr w:type="firstCol">
      <w:tcPr>
        <w:tcBorders>
          <w:right w:val="single" w:color="31849B" w:sz="18" w:space="0"/>
        </w:tcBorders>
      </w:tcPr>
    </w:tblStylePr>
    <w:tblStylePr w:type="firstRow">
      <w:tcPr>
        <w:tcBorders>
          <w:bottom w:val="single" w:color="31849B" w:sz="18" w:space="0"/>
        </w:tcBorders>
      </w:tcPr>
    </w:tblStylePr>
    <w:tblStylePr w:type="lastCol">
      <w:tcPr>
        <w:tcBorders>
          <w:left w:val="single" w:color="31849B" w:sz="18" w:space="0"/>
        </w:tcBorders>
      </w:tcPr>
    </w:tblStylePr>
    <w:tblStylePr w:type="lastRow">
      <w:tcPr>
        <w:tcBorders>
          <w:top w:val="single" w:color="31849B" w:sz="18" w:space="0"/>
        </w:tcBorders>
      </w:tcPr>
    </w:tblStylePr>
  </w:style>
  <w:style w:type="table" w:styleId="43">
    <w:name w:val="Bordered - Accent 6"/>
    <w:basedOn w:val="a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 w:type="auto"/>
        <w:top w:w="0" w:type="auto"/>
        <w:right w:w="1" w:type="auto"/>
        <w:bottom w:w="0" w:type="auto"/>
      </w:tblCellMar>
    </w:tblPr>
    <w:tblStylePr w:type="firstCol">
      <w:tcPr>
        <w:tcBorders>
          <w:right w:val="single" w:color="E36C0A" w:sz="18" w:space="0"/>
        </w:tcBorders>
      </w:tcPr>
    </w:tblStylePr>
    <w:tblStylePr w:type="firstRow">
      <w:tcPr>
        <w:tcBorders>
          <w:bottom w:val="single" w:color="E36C0A" w:sz="18" w:space="0"/>
        </w:tcBorders>
      </w:tcPr>
    </w:tblStylePr>
    <w:tblStylePr w:type="lastCol">
      <w:tcPr>
        <w:tcBorders>
          <w:left w:val="single" w:color="E36C0A" w:sz="18" w:space="0"/>
        </w:tcBorders>
      </w:tcPr>
    </w:tblStylePr>
    <w:tblStylePr w:type="lastRow">
      <w:tcPr>
        <w:tcBorders>
          <w:top w:val="single" w:color="E36C0A" w:sz="18" w:space="0"/>
        </w:tcBorders>
      </w:tcPr>
    </w:tblStylePr>
  </w:style>
  <w:style w:type="table" w:styleId="44">
    <w:name w:val="Bordered &amp; Lined"/>
    <w:basedOn w:val="a1"/>
    <w:uiPriority w:val="9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45">
    <w:name w:val="Bordered &amp; Lined - Accent 1"/>
    <w:basedOn w:val="a1"/>
    <w:uiPriority w:val="99"/>
    <w:pPr>
      <w:spacing w:lineRule="auto" w:line="240" w:after="0"/>
    </w:pPr>
    <w:tblPr>
      <w:tblStyleRowBandSize w:val="1"/>
      <w:tblStyleColBandSize w:val="1"/>
      <w:tblInd w:w="0" w:type="dxa"/>
      <w:tblBorders>
        <w:left w:val="single" w:color="17365D" w:sz="4" w:space="0"/>
        <w:top w:val="single" w:color="17365D" w:sz="4" w:space="0"/>
        <w:right w:val="single" w:color="17365D" w:sz="4" w:space="0"/>
        <w:bottom w:val="single" w:color="17365D" w:sz="4" w:space="0"/>
        <w:insideV w:val="single" w:color="17365D" w:sz="4" w:space="0"/>
        <w:insideH w:val="single" w:color="17365D" w:sz="4" w:space="0"/>
      </w:tblBorders>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styleId="46">
    <w:name w:val="Bordered &amp; Lined - Accent 2"/>
    <w:basedOn w:val="a1"/>
    <w:uiPriority w:val="99"/>
    <w:pPr>
      <w:spacing w:lineRule="auto" w:line="240" w:after="0"/>
    </w:pPr>
    <w:tblPr>
      <w:tblStyleRowBandSize w:val="1"/>
      <w:tblStyleColBandSize w:val="1"/>
      <w:tblInd w:w="0" w:type="dxa"/>
      <w:tblBorders>
        <w:left w:val="single" w:color="943634" w:sz="4" w:space="0"/>
        <w:top w:val="single" w:color="943634" w:sz="4" w:space="0"/>
        <w:right w:val="single" w:color="943634" w:sz="4" w:space="0"/>
        <w:bottom w:val="single" w:color="943634" w:sz="4" w:space="0"/>
        <w:insideV w:val="single" w:color="943634" w:sz="4" w:space="0"/>
        <w:insideH w:val="single" w:color="943634" w:sz="4" w:space="0"/>
      </w:tblBorders>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47">
    <w:name w:val="Bordered &amp; Lined - Accent 3"/>
    <w:basedOn w:val="a1"/>
    <w:uiPriority w:val="99"/>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48">
    <w:name w:val="Bordered &amp; Lined - Accent 4"/>
    <w:basedOn w:val="a1"/>
    <w:uiPriority w:val="99"/>
    <w:pPr>
      <w:spacing w:lineRule="auto" w:line="240" w:after="0"/>
    </w:pPr>
    <w:tblPr>
      <w:tblStyleRowBandSize w:val="1"/>
      <w:tblStyleColBandSize w:val="1"/>
      <w:tblInd w:w="0" w:type="dxa"/>
      <w:tblBorders>
        <w:left w:val="single" w:color="5F497A" w:sz="4" w:space="0"/>
        <w:top w:val="single" w:color="5F497A" w:sz="4" w:space="0"/>
        <w:right w:val="single" w:color="5F497A" w:sz="4" w:space="0"/>
        <w:bottom w:val="single" w:color="5F497A" w:sz="4" w:space="0"/>
        <w:insideV w:val="single" w:color="5F497A" w:sz="4" w:space="0"/>
        <w:insideH w:val="single" w:color="5F497A" w:sz="4" w:space="0"/>
      </w:tblBorders>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49">
    <w:name w:val="Bordered &amp; Lined - Accent 5"/>
    <w:basedOn w:val="a1"/>
    <w:uiPriority w:val="99"/>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0">
    <w:name w:val="Bordered &amp; Lined - Accent 6"/>
    <w:basedOn w:val="a1"/>
    <w:uiPriority w:val="99"/>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 w:type="auto"/>
        <w:top w:w="0" w:type="auto"/>
        <w:right w:w="1" w:type="auto"/>
        <w:bottom w:w="0" w:type="auto"/>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51">
    <w:name w:val="Hyperlink"/>
    <w:uiPriority w:val="99"/>
    <w:unhideWhenUsed/>
    <w:rPr>
      <w:color w:val="0000FF" w:themeColor="hyperlink"/>
      <w:u w:val="single"/>
    </w:rPr>
  </w:style>
  <w:style w:type="character" w:default="1" w:styleId="86">
    <w:name w:val="Default Paragraph Font"/>
    <w:uiPriority w:val="1"/>
    <w:semiHidden/>
    <w:unhideWhenUsed/>
  </w:style>
  <w:style w:type="paragraph" w:default="1" w:styleId="a">
    <w:name w:val="Normal"/>
    <w:qFormat/>
  </w:style>
  <w:style w:type="table" w:default="1" w:styleId="a1">
    <w:name w:val="Normal Table"/>
    <w:uiPriority w:val="99"/>
    <w:semiHidden/>
    <w:unhideWhenUsed/>
    <w:tblPr>
      <w:tblStyleRowBandSize w:val="1"/>
      <w:tblStyleColBandSize w:val="1"/>
      <w:tblInd w:w="0" w:type="dxa"/>
      <w:tblCellMar>
        <w:left w:w="108" w:type="dxa"/>
        <w:top w:w="0" w:type="dxa"/>
        <w:right w:w="108" w:type="dxa"/>
        <w:bottom w:w="0" w:type="dxa"/>
      </w:tblCellMar>
    </w:tblPr>
  </w:style>
  <w:style w:type="numbering" w:default="1" w:styleId="a2">
    <w:name w:val="No List"/>
    <w:uiPriority w:val="99"/>
    <w:semiHidden/>
    <w:unhideWhenUsed/>
  </w:style>
  <w:style w:type="paragraph" w:styleId="a3">
    <w:name w:val="Footer"/>
    <w:basedOn w:val="a"/>
    <w:uiPriority w:val="99"/>
    <w:unhideWhenUsed/>
    <w:pPr>
      <w:spacing w:lineRule="auto" w:line="240" w:after="0"/>
      <w:tabs>
        <w:tab w:val="center" w:pos="4677"/>
        <w:tab w:val="right" w:pos="9355"/>
      </w:tabs>
    </w:pPr>
  </w:style>
  <w:style w:type="paragraph" w:styleId="a5">
    <w:name w:val="Header"/>
    <w:basedOn w:val="a"/>
    <w:uiPriority w:val="99"/>
    <w:unhideWhenUsed/>
    <w:pPr>
      <w:spacing w:lineRule="auto" w:line="240" w:after="0"/>
      <w:tabs>
        <w:tab w:val="center" w:pos="4677"/>
        <w:tab w:val="right" w:pos="9355"/>
      </w:tabs>
    </w:pPr>
  </w:style>
  <w:style w:type="paragraph" w:styleId="a7">
    <w:name w:val="No Spacing"/>
    <w:qFormat/>
    <w:uiPriority w:val="1"/>
    <w:pPr>
      <w:spacing w:lineRule="auto" w:line="240" w:after="0"/>
    </w:pPr>
  </w:style>
  <w:style w:type="paragraph" w:styleId="a8">
    <w:name w:val="Subtitle"/>
    <w:basedOn w:val="a"/>
    <w:next w:val="a"/>
    <w:qFormat/>
    <w:uiPriority w:val="11"/>
    <w:rPr>
      <w:rFonts w:ascii="Arial" w:hAnsi="Arial" w:cs="Arial" w:eastAsia="Arial"/>
      <w:i/>
      <w:iCs/>
      <w:color w:val="444444"/>
      <w:sz w:val="52"/>
      <w:szCs w:val="52"/>
    </w:rPr>
    <w:pPr>
      <w:numPr>
        <w:ilvl w:val="1"/>
      </w:numPr>
      <w:spacing w:lineRule="auto" w:line="240"/>
    </w:pPr>
  </w:style>
  <w:style w:type="paragraph" w:styleId="aa">
    <w:name w:val="Intense Quote"/>
    <w:basedOn w:val="a"/>
    <w:next w:val="a"/>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af2">
    <w:name w:val="Title"/>
    <w:basedOn w:val="a"/>
    <w:next w:val="a"/>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af5">
    <w:name w:val="List Paragraph"/>
    <w:basedOn w:val="a"/>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0.jpg"/><Relationship Id="rId8" Type="http://schemas.openxmlformats.org/officeDocument/2006/relationships/hyperlink" Target="http://www.nhs.uk/Conditions/stress-anxiety-depression/Pages/mindfulness.aspx" TargetMode="External"/><Relationship Id="rId9" Type="http://schemas.openxmlformats.org/officeDocument/2006/relationships/hyperlink" Target="http://www.youngminds.org.uk" TargetMode="External"/><Relationship Id="rId10" Type="http://schemas.openxmlformats.org/officeDocument/2006/relationships/hyperlink" Target="http://search.ucas.com/" TargetMode="External"/><Relationship Id="rId11" Type="http://schemas.openxmlformats.org/officeDocument/2006/relationships/hyperlink" Target="http://viewer.zmags.com/publication/b5ab9faf" TargetMode="External"/><Relationship Id="rId12" Type="http://schemas.openxmlformats.org/officeDocument/2006/relationships/hyperlink" Target="http://www.allaboutschoolleavers.co.uk/employer-rankings" TargetMode="External"/><Relationship Id="rId13" Type="http://schemas.openxmlformats.org/officeDocument/2006/relationships/hyperlink" Target="http://www.notgoingtouni.co.uk/" TargetMode="External"/><Relationship Id="rId14" Type="http://schemas.openxmlformats.org/officeDocument/2006/relationships/hyperlink" Target="http://www.apprenticeships.org.uk" TargetMode="External"/><Relationship Id="rId15" Type="http://schemas.openxmlformats.org/officeDocument/2006/relationships/hyperlink" Target="http://beach.brightonandhovejobs.com/" TargetMode="External"/><Relationship Id="rId16" Type="http://schemas.openxmlformats.org/officeDocument/2006/relationships/hyperlink" Target="http://www.do-it.org" TargetMode="External"/><Relationship Id="rId17" Type="http://schemas.openxmlformats.org/officeDocument/2006/relationships/hyperlink" Target="https://nationalcareersservice.direct.gov.uk/advice/getajob/workexperience/Pages/default.aspx" TargetMode="External"/><Relationship Id="rId18" Type="http://schemas.openxmlformats.org/officeDocument/2006/relationships/hyperlink" Target="http://concordiavolunteers.org.uk" TargetMode="External"/><Relationship Id="rId19" Type="http://schemas.openxmlformats.org/officeDocument/2006/relationships/hyperlink" Target="http://www.workandvolunteer.com/leonardo" TargetMode="External"/><Relationship Id="rId20" Type="http://schemas.openxmlformats.org/officeDocument/2006/relationships/hyperlink" Target="http://www.princes-trust.org.uk/need_help/enterprise_programme.aspx" TargetMode="External"/><Relationship Id="rId21" Type="http://schemas.openxmlformats.org/officeDocument/2006/relationships/hyperlink" Target="http://www.facebook.com/yesbrightonhove" TargetMode="External"/><Relationship Id="rId22" Type="http://schemas.openxmlformats.org/officeDocument/2006/relationships/hyperlink" Target="http://www.princes-trust.org.uk/need_help/courses.aspx" TargetMode="External"/></Relationships>
</file>

<file path=word/_rels/header1.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Template>Normal.dotm</Template>
  <TotalTime>1</TotalTime>
  <Pages>1</Pages>
  <Words>0</Words>
  <Characters>0</Characters>
  <Application>OnlyOffice</Application>
  <DocSecurity>0</DocSecurity>
  <Lines>1</Lines>
  <Paragraphs>1</Paragraphs>
  <ScaleCrop>false</ScaleCrop>
  <LinksUpToDate>false</LinksUpToDate>
  <CharactersWithSpaces>0</CharactersWithSpaces>
  <SharedDoc>false</SharedDoc>
  <HyperlinksChanged>false</HyperlinksChanged>
  <AppVersion>3.0000</AppVersion>
</Properties>
</file>

<file path=docProps/core.xml><?xml version="1.0" encoding="utf-8"?>
<cp:coreProperties xmlns:cp="http://schemas.openxmlformats.org/package/2006/metadata/core-properties" xmlns:dc="http://purl.org/dc/elements/1.1/">
  <dc:creator/>
  <cp:lastModifiedBy/>
</cp:coreProperties>
</file>